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bookmarkStart w:id="0" w:name="_GoBack"/>
      <w:bookmarkEnd w:id="0"/>
      <w:r w:rsidRPr="00AE1FFF">
        <w:rPr>
          <w:rFonts w:ascii="Arial" w:hAnsi="Arial" w:cs="Arial"/>
          <w:sz w:val="22"/>
          <w:szCs w:val="22"/>
        </w:rPr>
        <w:t xml:space="preserve">The Review of </w:t>
      </w:r>
      <w:r w:rsidR="004B7D32" w:rsidRPr="00AE1FFF">
        <w:rPr>
          <w:rFonts w:ascii="Arial" w:hAnsi="Arial" w:cs="Arial"/>
          <w:sz w:val="22"/>
          <w:szCs w:val="22"/>
        </w:rPr>
        <w:t>the</w:t>
      </w:r>
      <w:r w:rsidR="004B7D32" w:rsidRPr="00AE1FFF">
        <w:rPr>
          <w:rFonts w:ascii="Arial" w:hAnsi="Arial" w:cs="Arial"/>
          <w:color w:val="FF6600"/>
          <w:sz w:val="22"/>
          <w:szCs w:val="22"/>
        </w:rPr>
        <w:t xml:space="preserve"> </w:t>
      </w:r>
      <w:r w:rsidRPr="00AE1FFF">
        <w:rPr>
          <w:rFonts w:ascii="Arial" w:hAnsi="Arial" w:cs="Arial"/>
          <w:sz w:val="22"/>
          <w:szCs w:val="22"/>
        </w:rPr>
        <w:t xml:space="preserve">Organ and Tissue Donation Procedures Select Committee </w:t>
      </w:r>
      <w:r w:rsidR="00AE1FFF" w:rsidRPr="00AE1FFF">
        <w:rPr>
          <w:rFonts w:ascii="Arial" w:hAnsi="Arial" w:cs="Arial"/>
          <w:sz w:val="22"/>
          <w:szCs w:val="22"/>
        </w:rPr>
        <w:t xml:space="preserve">(Committee) </w:t>
      </w:r>
      <w:r w:rsidRPr="00AE1FFF">
        <w:rPr>
          <w:rFonts w:ascii="Arial" w:hAnsi="Arial" w:cs="Arial"/>
          <w:sz w:val="22"/>
          <w:szCs w:val="22"/>
        </w:rPr>
        <w:t xml:space="preserve">of the Queensland Parliament was convened to investigate whether presumed consent should be introduced and whether there are other options that should be considered to improve organ and tissue donation rates in </w:t>
      </w:r>
      <w:smartTag w:uri="urn:schemas-microsoft-com:office:smarttags" w:element="State">
        <w:smartTag w:uri="urn:schemas-microsoft-com:office:smarttags" w:element="place">
          <w:r w:rsidRPr="00AE1FFF">
            <w:rPr>
              <w:rFonts w:ascii="Arial" w:hAnsi="Arial" w:cs="Arial"/>
              <w:sz w:val="22"/>
              <w:szCs w:val="22"/>
            </w:rPr>
            <w:t>Queensland</w:t>
          </w:r>
        </w:smartTag>
      </w:smartTag>
      <w:r w:rsidRPr="00AE1FFF">
        <w:rPr>
          <w:rFonts w:ascii="Arial" w:hAnsi="Arial" w:cs="Arial"/>
          <w:sz w:val="22"/>
          <w:szCs w:val="22"/>
        </w:rPr>
        <w:t xml:space="preserve">. </w:t>
      </w:r>
    </w:p>
    <w:p w:rsidR="007C5236" w:rsidRPr="00AE1FFF" w:rsidRDefault="007C5236" w:rsidP="00AE1FFF">
      <w:pPr>
        <w:tabs>
          <w:tab w:val="num" w:pos="426"/>
        </w:tabs>
        <w:ind w:left="426" w:hanging="426"/>
        <w:rPr>
          <w:rFonts w:ascii="Arial" w:hAnsi="Arial" w:cs="Arial"/>
          <w:sz w:val="22"/>
          <w:szCs w:val="22"/>
        </w:rPr>
      </w:pPr>
    </w:p>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r w:rsidRPr="00AE1FFF">
        <w:rPr>
          <w:rFonts w:ascii="Arial" w:hAnsi="Arial" w:cs="Arial"/>
          <w:sz w:val="22"/>
          <w:szCs w:val="22"/>
        </w:rPr>
        <w:t xml:space="preserve">The Report of the Committee was published on </w:t>
      </w:r>
      <w:smartTag w:uri="urn:schemas-microsoft-com:office:smarttags" w:element="date">
        <w:smartTagPr>
          <w:attr w:name="Month" w:val="10"/>
          <w:attr w:name="Day" w:val="28"/>
          <w:attr w:name="Year" w:val="2008"/>
        </w:smartTagPr>
        <w:r w:rsidRPr="00AE1FFF">
          <w:rPr>
            <w:rFonts w:ascii="Arial" w:hAnsi="Arial" w:cs="Arial"/>
            <w:sz w:val="22"/>
            <w:szCs w:val="22"/>
          </w:rPr>
          <w:t>28 October 2008</w:t>
        </w:r>
      </w:smartTag>
      <w:r w:rsidRPr="00AE1FFF">
        <w:rPr>
          <w:rFonts w:ascii="Arial" w:hAnsi="Arial" w:cs="Arial"/>
          <w:sz w:val="22"/>
          <w:szCs w:val="22"/>
        </w:rPr>
        <w:t xml:space="preserve">. It does not support </w:t>
      </w:r>
      <w:smartTag w:uri="urn:schemas-microsoft-com:office:smarttags" w:element="State">
        <w:smartTag w:uri="urn:schemas-microsoft-com:office:smarttags" w:element="place">
          <w:r w:rsidRPr="00AE1FFF">
            <w:rPr>
              <w:rFonts w:ascii="Arial" w:hAnsi="Arial" w:cs="Arial"/>
              <w:sz w:val="22"/>
              <w:szCs w:val="22"/>
            </w:rPr>
            <w:t>Queensland</w:t>
          </w:r>
        </w:smartTag>
      </w:smartTag>
      <w:r w:rsidRPr="00AE1FFF">
        <w:rPr>
          <w:rFonts w:ascii="Arial" w:hAnsi="Arial" w:cs="Arial"/>
          <w:sz w:val="22"/>
          <w:szCs w:val="22"/>
        </w:rPr>
        <w:t xml:space="preserve"> adopting a presumed consent (</w:t>
      </w:r>
      <w:r w:rsidR="00AE1FFF" w:rsidRPr="00AE1FFF">
        <w:rPr>
          <w:rFonts w:ascii="Arial" w:hAnsi="Arial" w:cs="Arial"/>
          <w:sz w:val="22"/>
          <w:szCs w:val="22"/>
        </w:rPr>
        <w:t>‘</w:t>
      </w:r>
      <w:r w:rsidRPr="00AE1FFF">
        <w:rPr>
          <w:rFonts w:ascii="Arial" w:hAnsi="Arial" w:cs="Arial"/>
          <w:sz w:val="22"/>
          <w:szCs w:val="22"/>
        </w:rPr>
        <w:t>opt-out</w:t>
      </w:r>
      <w:r w:rsidR="00AE1FFF" w:rsidRPr="00AE1FFF">
        <w:rPr>
          <w:rFonts w:ascii="Arial" w:hAnsi="Arial" w:cs="Arial"/>
          <w:sz w:val="22"/>
          <w:szCs w:val="22"/>
        </w:rPr>
        <w:t>’</w:t>
      </w:r>
      <w:r w:rsidRPr="00AE1FFF">
        <w:rPr>
          <w:rFonts w:ascii="Arial" w:hAnsi="Arial" w:cs="Arial"/>
          <w:sz w:val="22"/>
          <w:szCs w:val="22"/>
        </w:rPr>
        <w:t xml:space="preserve">) consent process. The Committee has made 24 recommendations across key areas for consideration and implementation including:  </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 xml:space="preserve">identifying all potential organ and tissue donors; </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 xml:space="preserve">reinforcing donor consent and strengthening donor registration; </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 xml:space="preserve">improving current consent processes; </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 xml:space="preserve">a coordinated organ and tissue donation system; </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a measurement framework for organ and tissue donation that improves accountability; and</w:t>
      </w:r>
    </w:p>
    <w:p w:rsidR="007C5236" w:rsidRPr="00AE1FFF" w:rsidRDefault="007C5236" w:rsidP="00E94DD5">
      <w:pPr>
        <w:numPr>
          <w:ilvl w:val="0"/>
          <w:numId w:val="3"/>
        </w:numPr>
        <w:spacing w:before="120"/>
        <w:ind w:left="714" w:hanging="357"/>
        <w:rPr>
          <w:rFonts w:ascii="Arial" w:hAnsi="Arial" w:cs="Arial"/>
          <w:sz w:val="22"/>
          <w:szCs w:val="22"/>
        </w:rPr>
      </w:pPr>
      <w:r w:rsidRPr="00AE1FFF">
        <w:rPr>
          <w:rFonts w:ascii="Arial" w:hAnsi="Arial" w:cs="Arial"/>
          <w:sz w:val="22"/>
          <w:szCs w:val="22"/>
        </w:rPr>
        <w:t>community education.</w:t>
      </w:r>
    </w:p>
    <w:p w:rsidR="007C5236" w:rsidRPr="00AE1FFF" w:rsidRDefault="007C5236" w:rsidP="00AE1FFF">
      <w:pPr>
        <w:tabs>
          <w:tab w:val="num" w:pos="426"/>
        </w:tabs>
        <w:ind w:left="426" w:hanging="426"/>
        <w:rPr>
          <w:rFonts w:ascii="Arial" w:hAnsi="Arial" w:cs="Arial"/>
          <w:sz w:val="22"/>
          <w:szCs w:val="22"/>
        </w:rPr>
      </w:pPr>
    </w:p>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r w:rsidRPr="00AE1FFF">
        <w:rPr>
          <w:rFonts w:ascii="Arial" w:hAnsi="Arial" w:cs="Arial"/>
          <w:sz w:val="22"/>
          <w:szCs w:val="22"/>
        </w:rPr>
        <w:t xml:space="preserve">The Australian Organ Donation and Transplantation Authority was enacted on </w:t>
      </w:r>
      <w:smartTag w:uri="urn:schemas-microsoft-com:office:smarttags" w:element="date">
        <w:smartTagPr>
          <w:attr w:name="Year" w:val="2009"/>
          <w:attr w:name="Day" w:val="1"/>
          <w:attr w:name="Month" w:val="1"/>
        </w:smartTagPr>
        <w:r w:rsidRPr="00AE1FFF">
          <w:rPr>
            <w:rFonts w:ascii="Arial" w:hAnsi="Arial" w:cs="Arial"/>
            <w:sz w:val="22"/>
            <w:szCs w:val="22"/>
          </w:rPr>
          <w:t>1 January 2009</w:t>
        </w:r>
      </w:smartTag>
      <w:r w:rsidRPr="00AE1FFF">
        <w:rPr>
          <w:rFonts w:ascii="Arial" w:hAnsi="Arial" w:cs="Arial"/>
          <w:sz w:val="22"/>
          <w:szCs w:val="22"/>
        </w:rPr>
        <w:t xml:space="preserve">, to implement the Commonwealth Government’s </w:t>
      </w:r>
      <w:r w:rsidRPr="00AE1FFF">
        <w:rPr>
          <w:rFonts w:ascii="Arial" w:hAnsi="Arial" w:cs="Arial"/>
          <w:i/>
          <w:sz w:val="22"/>
          <w:szCs w:val="22"/>
        </w:rPr>
        <w:t>World’s Best Practice National Reform Package for Organ and Tissue Donation for Transplantation</w:t>
      </w:r>
      <w:r w:rsidRPr="00AE1FFF">
        <w:rPr>
          <w:rFonts w:ascii="Arial" w:hAnsi="Arial" w:cs="Arial"/>
          <w:sz w:val="22"/>
          <w:szCs w:val="22"/>
        </w:rPr>
        <w:t xml:space="preserve">. </w:t>
      </w:r>
      <w:r w:rsidR="00AE1FFF" w:rsidRPr="00AE1FFF">
        <w:rPr>
          <w:rFonts w:ascii="Arial" w:hAnsi="Arial" w:cs="Arial"/>
          <w:sz w:val="22"/>
          <w:szCs w:val="22"/>
        </w:rPr>
        <w:t xml:space="preserve">The Department of </w:t>
      </w:r>
      <w:r w:rsidRPr="00AE1FFF">
        <w:rPr>
          <w:rFonts w:ascii="Arial" w:hAnsi="Arial" w:cs="Arial"/>
          <w:sz w:val="22"/>
          <w:szCs w:val="22"/>
        </w:rPr>
        <w:t xml:space="preserve">Health has actively contributed in the development of this package and is working with the national Authority to implement the reforms. </w:t>
      </w:r>
    </w:p>
    <w:p w:rsidR="007C5236" w:rsidRPr="00AE1FFF" w:rsidRDefault="007C5236" w:rsidP="00AE1FFF">
      <w:pPr>
        <w:tabs>
          <w:tab w:val="num" w:pos="426"/>
        </w:tabs>
        <w:ind w:left="426" w:hanging="426"/>
        <w:rPr>
          <w:rFonts w:ascii="Arial" w:hAnsi="Arial" w:cs="Arial"/>
          <w:sz w:val="22"/>
          <w:szCs w:val="22"/>
        </w:rPr>
      </w:pPr>
    </w:p>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r w:rsidRPr="00AE1FFF">
        <w:rPr>
          <w:rFonts w:ascii="Arial" w:hAnsi="Arial" w:cs="Arial"/>
          <w:sz w:val="22"/>
          <w:szCs w:val="22"/>
          <w:u w:val="single"/>
        </w:rPr>
        <w:t>Cabinet noted</w:t>
      </w:r>
      <w:r w:rsidRPr="00AE1FFF">
        <w:rPr>
          <w:rFonts w:ascii="Arial" w:hAnsi="Arial" w:cs="Arial"/>
          <w:sz w:val="22"/>
          <w:szCs w:val="22"/>
        </w:rPr>
        <w:t xml:space="preserve"> the recommendations of </w:t>
      </w:r>
      <w:r w:rsidRPr="00AE1FFF">
        <w:rPr>
          <w:rFonts w:ascii="Arial" w:hAnsi="Arial" w:cs="Arial"/>
          <w:i/>
          <w:sz w:val="22"/>
          <w:szCs w:val="22"/>
        </w:rPr>
        <w:t>Organ and Tissue Donation: Report of the Review of Organ and Tissue Donation Procedures Select Committee.</w:t>
      </w:r>
    </w:p>
    <w:p w:rsidR="007C5236" w:rsidRPr="00AE1FFF" w:rsidRDefault="007C5236" w:rsidP="00AE1FFF">
      <w:pPr>
        <w:tabs>
          <w:tab w:val="num" w:pos="426"/>
        </w:tabs>
        <w:ind w:left="426" w:hanging="426"/>
        <w:rPr>
          <w:rFonts w:ascii="Arial" w:hAnsi="Arial" w:cs="Arial"/>
          <w:sz w:val="22"/>
          <w:szCs w:val="22"/>
        </w:rPr>
      </w:pPr>
    </w:p>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r w:rsidRPr="00AE1FFF">
        <w:rPr>
          <w:rFonts w:ascii="Arial" w:hAnsi="Arial" w:cs="Arial"/>
          <w:sz w:val="22"/>
          <w:szCs w:val="22"/>
          <w:u w:val="single"/>
        </w:rPr>
        <w:t>Cabinet noted</w:t>
      </w:r>
      <w:r w:rsidRPr="00AE1FFF">
        <w:rPr>
          <w:rFonts w:ascii="Arial" w:hAnsi="Arial" w:cs="Arial"/>
          <w:sz w:val="22"/>
          <w:szCs w:val="22"/>
        </w:rPr>
        <w:t xml:space="preserve"> that the Acting</w:t>
      </w:r>
      <w:r w:rsidRPr="00AE1FFF">
        <w:rPr>
          <w:rFonts w:ascii="Arial" w:hAnsi="Arial" w:cs="Arial"/>
          <w:color w:val="00CCFF"/>
          <w:sz w:val="22"/>
          <w:szCs w:val="22"/>
        </w:rPr>
        <w:t xml:space="preserve"> </w:t>
      </w:r>
      <w:r w:rsidRPr="00AE1FFF">
        <w:rPr>
          <w:rFonts w:ascii="Arial" w:hAnsi="Arial" w:cs="Arial"/>
          <w:sz w:val="22"/>
          <w:szCs w:val="22"/>
        </w:rPr>
        <w:t>Minister for Health tabled an interim response to the Report.</w:t>
      </w:r>
    </w:p>
    <w:p w:rsidR="007C5236" w:rsidRPr="00AE1FFF" w:rsidRDefault="007C5236" w:rsidP="00AE1FFF">
      <w:pPr>
        <w:tabs>
          <w:tab w:val="num" w:pos="426"/>
        </w:tabs>
        <w:ind w:left="426" w:hanging="426"/>
        <w:rPr>
          <w:rFonts w:ascii="Arial" w:hAnsi="Arial" w:cs="Arial"/>
          <w:sz w:val="22"/>
          <w:szCs w:val="22"/>
        </w:rPr>
      </w:pPr>
    </w:p>
    <w:p w:rsidR="007C5236" w:rsidRPr="00AE1FFF" w:rsidRDefault="007C5236" w:rsidP="00AE1FFF">
      <w:pPr>
        <w:numPr>
          <w:ilvl w:val="0"/>
          <w:numId w:val="1"/>
        </w:numPr>
        <w:tabs>
          <w:tab w:val="clear" w:pos="720"/>
          <w:tab w:val="num" w:pos="426"/>
        </w:tabs>
        <w:ind w:left="426" w:hanging="426"/>
        <w:rPr>
          <w:rFonts w:ascii="Arial" w:hAnsi="Arial" w:cs="Arial"/>
          <w:sz w:val="22"/>
          <w:szCs w:val="22"/>
        </w:rPr>
      </w:pPr>
      <w:r w:rsidRPr="00AE1FFF">
        <w:rPr>
          <w:rFonts w:ascii="Arial" w:hAnsi="Arial" w:cs="Arial"/>
          <w:sz w:val="22"/>
          <w:szCs w:val="22"/>
          <w:u w:val="single"/>
        </w:rPr>
        <w:t>Cabinet endorsed</w:t>
      </w:r>
      <w:r w:rsidRPr="00AE1FFF">
        <w:rPr>
          <w:rFonts w:ascii="Arial" w:hAnsi="Arial" w:cs="Arial"/>
          <w:sz w:val="22"/>
          <w:szCs w:val="22"/>
        </w:rPr>
        <w:t xml:space="preserve"> the proposed Government response to </w:t>
      </w:r>
      <w:r w:rsidR="004B7D32" w:rsidRPr="00AE1FFF">
        <w:rPr>
          <w:rFonts w:ascii="Arial" w:hAnsi="Arial" w:cs="Arial"/>
          <w:sz w:val="22"/>
          <w:szCs w:val="22"/>
        </w:rPr>
        <w:t xml:space="preserve">the </w:t>
      </w:r>
      <w:r w:rsidRPr="00AE1FFF">
        <w:rPr>
          <w:rFonts w:ascii="Arial" w:hAnsi="Arial" w:cs="Arial"/>
          <w:sz w:val="22"/>
          <w:szCs w:val="22"/>
        </w:rPr>
        <w:t>Organ and Tissue Donation: Report of the Review of Organ and Tissue Donation Procedures Select Committee.</w:t>
      </w:r>
    </w:p>
    <w:p w:rsidR="007C5236" w:rsidRPr="00AE1FFF" w:rsidRDefault="007C5236" w:rsidP="00E94DD5">
      <w:pPr>
        <w:tabs>
          <w:tab w:val="num" w:pos="426"/>
        </w:tabs>
        <w:spacing w:before="120"/>
        <w:ind w:left="425" w:hanging="425"/>
        <w:rPr>
          <w:rFonts w:ascii="Arial" w:hAnsi="Arial" w:cs="Arial"/>
          <w:sz w:val="22"/>
          <w:szCs w:val="22"/>
        </w:rPr>
      </w:pPr>
    </w:p>
    <w:p w:rsidR="007C5236" w:rsidRPr="00AE1FFF" w:rsidRDefault="007C5236" w:rsidP="00AE1FFF">
      <w:pPr>
        <w:pStyle w:val="Header"/>
        <w:numPr>
          <w:ilvl w:val="0"/>
          <w:numId w:val="1"/>
        </w:numPr>
        <w:tabs>
          <w:tab w:val="clear" w:pos="720"/>
          <w:tab w:val="clear" w:pos="4153"/>
          <w:tab w:val="clear" w:pos="8306"/>
          <w:tab w:val="num" w:pos="426"/>
          <w:tab w:val="left" w:pos="2835"/>
          <w:tab w:val="left" w:pos="6521"/>
        </w:tabs>
        <w:ind w:left="426" w:hanging="426"/>
        <w:jc w:val="left"/>
        <w:rPr>
          <w:rFonts w:ascii="Arial" w:hAnsi="Arial" w:cs="Arial"/>
          <w:sz w:val="22"/>
          <w:szCs w:val="22"/>
        </w:rPr>
      </w:pPr>
      <w:r w:rsidRPr="00AE1FFF">
        <w:rPr>
          <w:rFonts w:ascii="Arial" w:hAnsi="Arial" w:cs="Arial"/>
          <w:sz w:val="22"/>
          <w:szCs w:val="22"/>
        </w:rPr>
        <w:t xml:space="preserve"> </w:t>
      </w:r>
      <w:r w:rsidRPr="00AE1FFF">
        <w:rPr>
          <w:rFonts w:ascii="Arial" w:hAnsi="Arial" w:cs="Arial"/>
          <w:i/>
          <w:sz w:val="22"/>
          <w:szCs w:val="22"/>
          <w:u w:val="single"/>
        </w:rPr>
        <w:t>Attachment</w:t>
      </w:r>
      <w:r w:rsidRPr="00AE1FFF">
        <w:rPr>
          <w:rFonts w:ascii="Arial" w:hAnsi="Arial" w:cs="Arial"/>
          <w:i/>
          <w:sz w:val="22"/>
          <w:szCs w:val="22"/>
        </w:rPr>
        <w:t>s</w:t>
      </w:r>
      <w:r w:rsidRPr="00AE1FFF">
        <w:rPr>
          <w:rFonts w:ascii="Arial" w:hAnsi="Arial" w:cs="Arial"/>
          <w:sz w:val="22"/>
          <w:szCs w:val="22"/>
        </w:rPr>
        <w:t xml:space="preserve"> </w:t>
      </w:r>
    </w:p>
    <w:p w:rsidR="007B071F" w:rsidRPr="00AF4913" w:rsidRDefault="001B44EA" w:rsidP="00AF4913">
      <w:pPr>
        <w:numPr>
          <w:ilvl w:val="0"/>
          <w:numId w:val="3"/>
        </w:numPr>
        <w:tabs>
          <w:tab w:val="num" w:pos="426"/>
        </w:tabs>
        <w:spacing w:before="120"/>
        <w:ind w:left="714" w:hanging="357"/>
        <w:rPr>
          <w:rFonts w:ascii="Arial" w:hAnsi="Arial" w:cs="Arial"/>
          <w:sz w:val="22"/>
          <w:szCs w:val="22"/>
        </w:rPr>
      </w:pPr>
      <w:hyperlink r:id="rId7" w:history="1">
        <w:r w:rsidR="007C5236" w:rsidRPr="00AF4913">
          <w:rPr>
            <w:rStyle w:val="Hyperlink"/>
            <w:rFonts w:ascii="Arial" w:hAnsi="Arial" w:cs="Arial"/>
            <w:sz w:val="22"/>
            <w:szCs w:val="22"/>
          </w:rPr>
          <w:t>Government Response to the Select Committee Report on Organ and Tissue Donation</w:t>
        </w:r>
      </w:hyperlink>
    </w:p>
    <w:sectPr w:rsidR="007B071F" w:rsidRPr="00AF4913" w:rsidSect="00AE1FFF">
      <w:headerReference w:type="default" r:id="rId8"/>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30" w:rsidRDefault="00EF0E30" w:rsidP="00AE1FFF">
      <w:r>
        <w:separator/>
      </w:r>
    </w:p>
  </w:endnote>
  <w:endnote w:type="continuationSeparator" w:id="0">
    <w:p w:rsidR="00EF0E30" w:rsidRDefault="00EF0E30" w:rsidP="00AE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30" w:rsidRDefault="00EF0E30" w:rsidP="00AE1FFF">
      <w:r>
        <w:separator/>
      </w:r>
    </w:p>
  </w:footnote>
  <w:footnote w:type="continuationSeparator" w:id="0">
    <w:p w:rsidR="00EF0E30" w:rsidRDefault="00EF0E30" w:rsidP="00AE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FF" w:rsidRPr="00AE1FFF" w:rsidRDefault="00EF4264" w:rsidP="00AE1FFF">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AE1FFF" w:rsidRPr="00AE1FFF">
      <w:rPr>
        <w:rFonts w:ascii="Arial" w:hAnsi="Arial" w:cs="Arial"/>
        <w:b/>
        <w:sz w:val="22"/>
        <w:szCs w:val="22"/>
        <w:u w:val="single"/>
      </w:rPr>
      <w:t>Cabinet - February 2009</w:t>
    </w:r>
  </w:p>
  <w:p w:rsidR="00AE1FFF" w:rsidRPr="00AE1FFF" w:rsidRDefault="00AE1FFF" w:rsidP="00E94DD5">
    <w:pPr>
      <w:pStyle w:val="Header"/>
      <w:spacing w:before="240"/>
      <w:rPr>
        <w:rFonts w:ascii="Arial" w:hAnsi="Arial" w:cs="Arial"/>
        <w:b/>
        <w:sz w:val="22"/>
        <w:szCs w:val="22"/>
        <w:u w:val="single"/>
      </w:rPr>
    </w:pPr>
    <w:r w:rsidRPr="00AE1FFF">
      <w:rPr>
        <w:rFonts w:ascii="Arial" w:hAnsi="Arial" w:cs="Arial"/>
        <w:b/>
        <w:sz w:val="22"/>
        <w:szCs w:val="22"/>
        <w:u w:val="single"/>
      </w:rPr>
      <w:t>Government response to “The Review of Organ and Tissue Donation Procedures Select Committee Report”</w:t>
    </w:r>
  </w:p>
  <w:p w:rsidR="00AE1FFF" w:rsidRPr="00AE1FFF" w:rsidRDefault="00AE1FFF" w:rsidP="00AE1FFF">
    <w:pPr>
      <w:pStyle w:val="Header"/>
      <w:spacing w:before="120"/>
      <w:rPr>
        <w:rFonts w:ascii="Arial" w:hAnsi="Arial" w:cs="Arial"/>
        <w:b/>
        <w:sz w:val="22"/>
        <w:szCs w:val="22"/>
        <w:u w:val="single"/>
      </w:rPr>
    </w:pPr>
    <w:r w:rsidRPr="00AE1FFF">
      <w:rPr>
        <w:rFonts w:ascii="Arial" w:hAnsi="Arial" w:cs="Arial"/>
        <w:b/>
        <w:sz w:val="22"/>
        <w:szCs w:val="22"/>
        <w:u w:val="single"/>
      </w:rPr>
      <w:t>Minister for Health</w:t>
    </w:r>
  </w:p>
  <w:p w:rsidR="00AE1FFF" w:rsidRPr="00AE1FFF" w:rsidRDefault="00AE1FFF" w:rsidP="00AE1FFF">
    <w:pPr>
      <w:pStyle w:val="Header"/>
      <w:pBdr>
        <w:bottom w:val="single" w:sz="8" w:space="1" w:color="auto"/>
      </w:pBdr>
      <w:rPr>
        <w:rFonts w:ascii="Arial" w:hAnsi="Arial" w:cs="Arial"/>
        <w:b/>
        <w:sz w:val="22"/>
        <w:szCs w:val="22"/>
        <w:u w:val="single"/>
      </w:rPr>
    </w:pPr>
  </w:p>
  <w:p w:rsidR="00AE1FFF" w:rsidRDefault="00AE1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AF8"/>
    <w:multiLevelType w:val="hybridMultilevel"/>
    <w:tmpl w:val="1A7C46F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A12347"/>
    <w:multiLevelType w:val="hybridMultilevel"/>
    <w:tmpl w:val="1D467F9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F125DBF"/>
    <w:multiLevelType w:val="hybridMultilevel"/>
    <w:tmpl w:val="7BDC3170"/>
    <w:lvl w:ilvl="0" w:tplc="0C090001">
      <w:start w:val="1"/>
      <w:numFmt w:val="bullet"/>
      <w:lvlText w:val=""/>
      <w:lvlJc w:val="left"/>
      <w:pPr>
        <w:tabs>
          <w:tab w:val="num" w:pos="1932"/>
        </w:tabs>
        <w:ind w:left="1932" w:hanging="360"/>
      </w:pPr>
      <w:rPr>
        <w:rFonts w:ascii="Symbol" w:hAnsi="Symbol" w:hint="default"/>
        <w:sz w:val="24"/>
        <w:szCs w:val="24"/>
      </w:rPr>
    </w:lvl>
    <w:lvl w:ilvl="1" w:tplc="0C090003" w:tentative="1">
      <w:start w:val="1"/>
      <w:numFmt w:val="bullet"/>
      <w:lvlText w:val="o"/>
      <w:lvlJc w:val="left"/>
      <w:pPr>
        <w:tabs>
          <w:tab w:val="num" w:pos="2292"/>
        </w:tabs>
        <w:ind w:left="2292" w:hanging="360"/>
      </w:pPr>
      <w:rPr>
        <w:rFonts w:ascii="Courier New" w:hAnsi="Courier New" w:cs="Courier New" w:hint="default"/>
      </w:rPr>
    </w:lvl>
    <w:lvl w:ilvl="2" w:tplc="0C090005" w:tentative="1">
      <w:start w:val="1"/>
      <w:numFmt w:val="bullet"/>
      <w:lvlText w:val=""/>
      <w:lvlJc w:val="left"/>
      <w:pPr>
        <w:tabs>
          <w:tab w:val="num" w:pos="3012"/>
        </w:tabs>
        <w:ind w:left="3012" w:hanging="360"/>
      </w:pPr>
      <w:rPr>
        <w:rFonts w:ascii="Wingdings" w:hAnsi="Wingdings" w:hint="default"/>
      </w:rPr>
    </w:lvl>
    <w:lvl w:ilvl="3" w:tplc="0C090001" w:tentative="1">
      <w:start w:val="1"/>
      <w:numFmt w:val="bullet"/>
      <w:lvlText w:val=""/>
      <w:lvlJc w:val="left"/>
      <w:pPr>
        <w:tabs>
          <w:tab w:val="num" w:pos="3732"/>
        </w:tabs>
        <w:ind w:left="3732" w:hanging="360"/>
      </w:pPr>
      <w:rPr>
        <w:rFonts w:ascii="Symbol" w:hAnsi="Symbol" w:hint="default"/>
      </w:rPr>
    </w:lvl>
    <w:lvl w:ilvl="4" w:tplc="0C090003" w:tentative="1">
      <w:start w:val="1"/>
      <w:numFmt w:val="bullet"/>
      <w:lvlText w:val="o"/>
      <w:lvlJc w:val="left"/>
      <w:pPr>
        <w:tabs>
          <w:tab w:val="num" w:pos="4452"/>
        </w:tabs>
        <w:ind w:left="4452" w:hanging="360"/>
      </w:pPr>
      <w:rPr>
        <w:rFonts w:ascii="Courier New" w:hAnsi="Courier New" w:cs="Courier New" w:hint="default"/>
      </w:rPr>
    </w:lvl>
    <w:lvl w:ilvl="5" w:tplc="0C090005" w:tentative="1">
      <w:start w:val="1"/>
      <w:numFmt w:val="bullet"/>
      <w:lvlText w:val=""/>
      <w:lvlJc w:val="left"/>
      <w:pPr>
        <w:tabs>
          <w:tab w:val="num" w:pos="5172"/>
        </w:tabs>
        <w:ind w:left="5172" w:hanging="360"/>
      </w:pPr>
      <w:rPr>
        <w:rFonts w:ascii="Wingdings" w:hAnsi="Wingdings" w:hint="default"/>
      </w:rPr>
    </w:lvl>
    <w:lvl w:ilvl="6" w:tplc="0C090001" w:tentative="1">
      <w:start w:val="1"/>
      <w:numFmt w:val="bullet"/>
      <w:lvlText w:val=""/>
      <w:lvlJc w:val="left"/>
      <w:pPr>
        <w:tabs>
          <w:tab w:val="num" w:pos="5892"/>
        </w:tabs>
        <w:ind w:left="5892" w:hanging="360"/>
      </w:pPr>
      <w:rPr>
        <w:rFonts w:ascii="Symbol" w:hAnsi="Symbol" w:hint="default"/>
      </w:rPr>
    </w:lvl>
    <w:lvl w:ilvl="7" w:tplc="0C090003" w:tentative="1">
      <w:start w:val="1"/>
      <w:numFmt w:val="bullet"/>
      <w:lvlText w:val="o"/>
      <w:lvlJc w:val="left"/>
      <w:pPr>
        <w:tabs>
          <w:tab w:val="num" w:pos="6612"/>
        </w:tabs>
        <w:ind w:left="6612" w:hanging="360"/>
      </w:pPr>
      <w:rPr>
        <w:rFonts w:ascii="Courier New" w:hAnsi="Courier New" w:cs="Courier New" w:hint="default"/>
      </w:rPr>
    </w:lvl>
    <w:lvl w:ilvl="8" w:tplc="0C090005" w:tentative="1">
      <w:start w:val="1"/>
      <w:numFmt w:val="bullet"/>
      <w:lvlText w:val=""/>
      <w:lvlJc w:val="left"/>
      <w:pPr>
        <w:tabs>
          <w:tab w:val="num" w:pos="7332"/>
        </w:tabs>
        <w:ind w:left="733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2"/>
    <w:rsid w:val="00042F2B"/>
    <w:rsid w:val="00093542"/>
    <w:rsid w:val="00113571"/>
    <w:rsid w:val="00150D4F"/>
    <w:rsid w:val="00164E53"/>
    <w:rsid w:val="001B44EA"/>
    <w:rsid w:val="003C6E41"/>
    <w:rsid w:val="00402794"/>
    <w:rsid w:val="00410DE4"/>
    <w:rsid w:val="0043346F"/>
    <w:rsid w:val="004B7D32"/>
    <w:rsid w:val="005A1C5C"/>
    <w:rsid w:val="00626847"/>
    <w:rsid w:val="006757C1"/>
    <w:rsid w:val="007B071F"/>
    <w:rsid w:val="007C5236"/>
    <w:rsid w:val="00867A82"/>
    <w:rsid w:val="0088322C"/>
    <w:rsid w:val="009C0DA9"/>
    <w:rsid w:val="00AA48F7"/>
    <w:rsid w:val="00AE1FFF"/>
    <w:rsid w:val="00AF4913"/>
    <w:rsid w:val="00B42F50"/>
    <w:rsid w:val="00B63C9B"/>
    <w:rsid w:val="00C27CD1"/>
    <w:rsid w:val="00D31C88"/>
    <w:rsid w:val="00D90BB3"/>
    <w:rsid w:val="00DA3584"/>
    <w:rsid w:val="00E06A32"/>
    <w:rsid w:val="00E1316F"/>
    <w:rsid w:val="00E94DD5"/>
    <w:rsid w:val="00EF0E30"/>
    <w:rsid w:val="00EF4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36"/>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5236"/>
    <w:pPr>
      <w:tabs>
        <w:tab w:val="center" w:pos="4153"/>
        <w:tab w:val="right" w:pos="8306"/>
      </w:tabs>
    </w:pPr>
  </w:style>
  <w:style w:type="paragraph" w:customStyle="1" w:styleId="CharCharCharCharCharCharCharCharCharCharCharCharCharChar">
    <w:name w:val="Char Char Char Char Char Char Char Char Char Char Char Char Char Char"/>
    <w:basedOn w:val="Normal"/>
    <w:rsid w:val="007C5236"/>
    <w:pPr>
      <w:jc w:val="left"/>
    </w:pPr>
    <w:rPr>
      <w:rFonts w:cs="Arial"/>
      <w:b/>
      <w:szCs w:val="24"/>
      <w:lang w:eastAsia="en-US"/>
    </w:rPr>
  </w:style>
  <w:style w:type="paragraph" w:styleId="BalloonText">
    <w:name w:val="Balloon Text"/>
    <w:basedOn w:val="Normal"/>
    <w:semiHidden/>
    <w:rsid w:val="006757C1"/>
    <w:rPr>
      <w:rFonts w:ascii="Tahoma" w:hAnsi="Tahoma" w:cs="Tahoma"/>
      <w:sz w:val="16"/>
      <w:szCs w:val="16"/>
    </w:rPr>
  </w:style>
  <w:style w:type="paragraph" w:styleId="Footer">
    <w:name w:val="footer"/>
    <w:basedOn w:val="Normal"/>
    <w:link w:val="FooterChar"/>
    <w:uiPriority w:val="99"/>
    <w:semiHidden/>
    <w:unhideWhenUsed/>
    <w:rsid w:val="00AE1FFF"/>
    <w:pPr>
      <w:tabs>
        <w:tab w:val="center" w:pos="4513"/>
        <w:tab w:val="right" w:pos="9026"/>
      </w:tabs>
    </w:pPr>
  </w:style>
  <w:style w:type="character" w:customStyle="1" w:styleId="FooterChar">
    <w:name w:val="Footer Char"/>
    <w:basedOn w:val="DefaultParagraphFont"/>
    <w:link w:val="Footer"/>
    <w:uiPriority w:val="99"/>
    <w:semiHidden/>
    <w:rsid w:val="00AE1FFF"/>
    <w:rPr>
      <w:sz w:val="24"/>
    </w:rPr>
  </w:style>
  <w:style w:type="character" w:styleId="Hyperlink">
    <w:name w:val="Hyperlink"/>
    <w:basedOn w:val="DefaultParagraphFont"/>
    <w:uiPriority w:val="99"/>
    <w:unhideWhenUsed/>
    <w:rsid w:val="00D90BB3"/>
    <w:rPr>
      <w:color w:val="0000FF"/>
      <w:u w:val="single"/>
    </w:rPr>
  </w:style>
  <w:style w:type="character" w:styleId="FollowedHyperlink">
    <w:name w:val="FollowedHyperlink"/>
    <w:basedOn w:val="DefaultParagraphFont"/>
    <w:uiPriority w:val="99"/>
    <w:semiHidden/>
    <w:unhideWhenUsed/>
    <w:rsid w:val="00C27C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ovt%20Response%20to%20report%20on%20organ%20and%20tissue%20don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1520</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CharactersWithSpaces>
  <SharedDoc>false</SharedDoc>
  <HyperlinkBase>https://www.cabinet.qld.gov.au/documents/2009/Feb/Review of Organ and Tissue Donation/</HyperlinkBase>
  <HLinks>
    <vt:vector size="6" baseType="variant">
      <vt:variant>
        <vt:i4>1703957</vt:i4>
      </vt:variant>
      <vt:variant>
        <vt:i4>0</vt:i4>
      </vt:variant>
      <vt:variant>
        <vt:i4>0</vt:i4>
      </vt:variant>
      <vt:variant>
        <vt:i4>5</vt:i4>
      </vt:variant>
      <vt:variant>
        <vt:lpwstr>Attachments/Govt Response to report on organ and tissue donation.pdf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2010-10-22T05:04:00Z</cp:lastPrinted>
  <dcterms:created xsi:type="dcterms:W3CDTF">2017-10-24T22:00:00Z</dcterms:created>
  <dcterms:modified xsi:type="dcterms:W3CDTF">2018-03-06T00:56:00Z</dcterms:modified>
  <cp:category>Health,Parliament,Committees</cp:category>
</cp:coreProperties>
</file>